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FFFFFF" w:themeColor="background1"/>
          <w:sz w:val="32"/>
          <w:szCs w:val="32"/>
          <w:highlight w:val="blue"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CE53BD" w:rsidRDefault="00CE53BD" w:rsidP="00CE53BD">
          <w:pPr>
            <w:rPr>
              <w:color w:val="FFFFFF" w:themeColor="background1"/>
              <w:sz w:val="32"/>
              <w:szCs w:val="32"/>
            </w:rPr>
          </w:pPr>
          <w:r w:rsidRPr="00CE53BD">
            <w:rPr>
              <w:color w:val="FFFFFF" w:themeColor="background1"/>
              <w:sz w:val="32"/>
              <w:szCs w:val="32"/>
              <w:highlight w:val="blue"/>
            </w:rPr>
            <w:t xml:space="preserve">AUTEX </w:t>
          </w:r>
          <w:proofErr w:type="spellStart"/>
          <w:r w:rsidRPr="00CE53BD">
            <w:rPr>
              <w:color w:val="FFFFFF" w:themeColor="background1"/>
              <w:sz w:val="32"/>
              <w:szCs w:val="32"/>
              <w:highlight w:val="blue"/>
            </w:rPr>
            <w:t>Polosyntetic</w:t>
          </w:r>
          <w:proofErr w:type="spellEnd"/>
          <w:r w:rsidRPr="00CE53BD">
            <w:rPr>
              <w:color w:val="FFFFFF" w:themeColor="background1"/>
              <w:sz w:val="32"/>
              <w:szCs w:val="32"/>
              <w:highlight w:val="blue"/>
            </w:rPr>
            <w:t xml:space="preserve"> </w:t>
          </w:r>
          <w:r w:rsidR="00D05DA3" w:rsidRPr="00CE53BD">
            <w:rPr>
              <w:color w:val="FFFFFF" w:themeColor="background1"/>
              <w:sz w:val="32"/>
              <w:szCs w:val="32"/>
              <w:highlight w:val="blue"/>
            </w:rPr>
            <w:t>10</w:t>
          </w:r>
          <w:r w:rsidR="00514BF7" w:rsidRPr="00CE53BD">
            <w:rPr>
              <w:color w:val="FFFFFF" w:themeColor="background1"/>
              <w:sz w:val="32"/>
              <w:szCs w:val="32"/>
              <w:highlight w:val="blue"/>
            </w:rPr>
            <w:t>W-</w:t>
          </w:r>
          <w:r w:rsidR="00EB3486" w:rsidRPr="00CE53BD">
            <w:rPr>
              <w:color w:val="FFFFFF" w:themeColor="background1"/>
              <w:sz w:val="32"/>
              <w:szCs w:val="32"/>
              <w:highlight w:val="blue"/>
            </w:rPr>
            <w:t>4</w:t>
          </w:r>
          <w:r w:rsidR="0015326D" w:rsidRPr="00CE53BD">
            <w:rPr>
              <w:color w:val="FFFFFF" w:themeColor="background1"/>
              <w:sz w:val="32"/>
              <w:szCs w:val="32"/>
              <w:highlight w:val="blue"/>
            </w:rPr>
            <w:t>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42"/>
        <w:gridCol w:w="30"/>
        <w:gridCol w:w="7500"/>
      </w:tblGrid>
      <w:tr w:rsidR="002179B6" w:rsidTr="00693AD7"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pOPIS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2179B6" w:rsidRPr="00023ED9" w:rsidRDefault="00407A37" w:rsidP="005C7B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23ED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AUTEX </w:t>
            </w:r>
            <w:proofErr w:type="spellStart"/>
            <w:r w:rsidRPr="00023ED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</w:t>
            </w:r>
            <w:r w:rsidR="00023ED9" w:rsidRPr="00023ED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ol</w:t>
            </w:r>
            <w:r w:rsidR="004F5501" w:rsidRPr="00023ED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osyntetic</w:t>
            </w:r>
            <w:proofErr w:type="spellEnd"/>
            <w:r w:rsidR="00023ED9" w:rsidRPr="00023ED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D05DA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10</w:t>
            </w:r>
            <w:r w:rsidRPr="00023ED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W-</w:t>
            </w:r>
            <w:r w:rsidR="00FC6E2A" w:rsidRPr="00023ED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40 </w:t>
            </w:r>
            <w:r w:rsidR="00634F44" w:rsidRPr="00023ED9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je </w:t>
            </w:r>
            <w:r w:rsidR="00023ED9" w:rsidRPr="00023ED9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moderný produkt vyrobený z vysoko výkonných syntetických a vysoko kvalitných</w:t>
            </w:r>
            <w:r w:rsidR="00023ED9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023ED9" w:rsidRPr="00023ED9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minerálnych základových olejov, ktoré poskytujú trojitú </w:t>
            </w:r>
            <w:proofErr w:type="spellStart"/>
            <w:r w:rsidR="00023ED9" w:rsidRPr="00023ED9">
              <w:rPr>
                <w:rFonts w:ascii="Arial Unicode MS" w:eastAsia="Arial Unicode MS" w:hAnsi="Arial Unicode MS" w:cs="Arial Unicode MS"/>
                <w:sz w:val="18"/>
                <w:szCs w:val="18"/>
              </w:rPr>
              <w:t>antioxidačnú</w:t>
            </w:r>
            <w:proofErr w:type="spellEnd"/>
            <w:r w:rsidR="00023ED9" w:rsidRPr="00023ED9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ochranu, použitím komplexného systému</w:t>
            </w:r>
            <w:r w:rsidR="00023ED9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023ED9" w:rsidRPr="00023ED9">
              <w:rPr>
                <w:rFonts w:ascii="Arial Unicode MS" w:eastAsia="Arial Unicode MS" w:hAnsi="Arial Unicode MS" w:cs="Arial Unicode MS"/>
                <w:sz w:val="18"/>
                <w:szCs w:val="18"/>
              </w:rPr>
              <w:t>prísad, vyvinuté pre osobné automobily a malé úžitkové vozidlá.</w:t>
            </w:r>
          </w:p>
        </w:tc>
      </w:tr>
      <w:tr w:rsidR="002179B6" w:rsidTr="00EC3EA0">
        <w:trPr>
          <w:trHeight w:val="1008"/>
        </w:trPr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AA78F1" w:rsidRPr="00AA78F1" w:rsidRDefault="00AA78F1" w:rsidP="00AA78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AA78F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Preplňované alebo nepreplňované, benzínové alebo naftové motory osobných automobilov a ľahkých úžitkových vozidiel ( do 3.5 t )</w:t>
            </w:r>
          </w:p>
          <w:p w:rsidR="00AA78F1" w:rsidRPr="00AA78F1" w:rsidRDefault="00AA78F1" w:rsidP="00AA78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AA78F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Preplňované a nepreplňované motory a motory s priamym vstrekovaním</w:t>
            </w:r>
          </w:p>
          <w:p w:rsidR="002179B6" w:rsidRPr="00C2730F" w:rsidRDefault="002179B6" w:rsidP="00AA78F1">
            <w:pPr>
              <w:spacing w:before="100" w:beforeAutospacing="1" w:after="100" w:afterAutospacing="1" w:line="240" w:lineRule="auto"/>
              <w:ind w:left="360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5996"/>
            </w:tblGrid>
            <w:tr w:rsidR="00AA78F1" w:rsidRPr="00C2730F" w:rsidTr="00C273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78F1" w:rsidRPr="00AA78F1" w:rsidRDefault="00AA78F1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AA78F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Trojitá </w:t>
                  </w:r>
                  <w:proofErr w:type="spellStart"/>
                  <w:r w:rsidRPr="00AA78F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antioxidačná</w:t>
                  </w:r>
                  <w:proofErr w:type="spellEnd"/>
                  <w:r w:rsidRPr="00AA78F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ochrana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8F1" w:rsidRPr="00AA78F1" w:rsidRDefault="00AA78F1" w:rsidP="00AA78F1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AA78F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Zabraňuje vzniku voľných radikálov spôsobujúcich starnutie oleja pomocou trojitej </w:t>
                  </w:r>
                  <w:proofErr w:type="spellStart"/>
                  <w:r w:rsidRPr="00AA78F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antioxidačnej</w:t>
                  </w:r>
                  <w:proofErr w:type="spellEnd"/>
                  <w:r w:rsidRPr="00AA78F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ochrane, čím sa zvyšuje životnosť motorového oleja a motora</w:t>
                  </w:r>
                </w:p>
              </w:tc>
            </w:tr>
            <w:tr w:rsidR="00AA78F1" w:rsidRPr="00C2730F" w:rsidTr="00C273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78F1" w:rsidRPr="00AA78F1" w:rsidRDefault="00AA78F1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AA78F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Vynikajúca strihová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8F1" w:rsidRPr="00AA78F1" w:rsidRDefault="00AA78F1" w:rsidP="00AA78F1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AA78F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Zachováva si viskozitné vlastnosti počas celého výmenného intervalu oleja</w:t>
                  </w:r>
                </w:p>
              </w:tc>
            </w:tr>
            <w:tr w:rsidR="00AA78F1" w:rsidRPr="00C2730F" w:rsidTr="00C2730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78F1" w:rsidRPr="00AA78F1" w:rsidRDefault="00AA78F1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AA78F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Nízka prchavosť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78F1" w:rsidRPr="00AA78F1" w:rsidRDefault="00AA78F1" w:rsidP="00AA78F1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AA78F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Nižšia spotreba oleja a zníženie emisií škodlivých látok</w:t>
                  </w:r>
                </w:p>
                <w:p w:rsidR="00AA78F1" w:rsidRPr="00AA78F1" w:rsidRDefault="00AA78F1" w:rsidP="00AA78F1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AA78F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Ekonomická prevádzka</w:t>
                  </w:r>
                </w:p>
              </w:tc>
            </w:tr>
          </w:tbl>
          <w:p w:rsidR="00A3055A" w:rsidRPr="00C2730F" w:rsidRDefault="00A3055A" w:rsidP="00CA38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C2730F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2730F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2730F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C2730F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C2730F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A3055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</w:t>
                  </w:r>
                  <w:r w:rsidR="00AA78F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71</w:t>
                  </w:r>
                </w:p>
              </w:tc>
            </w:tr>
            <w:tr w:rsidR="00FC1CBD" w:rsidRPr="00C2730F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AA78F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93,4</w:t>
                  </w:r>
                </w:p>
              </w:tc>
            </w:tr>
            <w:tr w:rsidR="00FC1CBD" w:rsidRPr="00C2730F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AA78F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14,1</w:t>
                  </w:r>
                </w:p>
              </w:tc>
            </w:tr>
            <w:tr w:rsidR="00FC1CBD" w:rsidRPr="00C2730F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5E099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  <w:r w:rsidR="00AA78F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33</w:t>
                  </w:r>
                </w:p>
              </w:tc>
            </w:tr>
            <w:tr w:rsidR="00FC1CBD" w:rsidRPr="00C2730F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C2730F" w:rsidRDefault="00F3792C" w:rsidP="000319A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C2730F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AA78F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5E0994" w:rsidRPr="00C2730F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C2730F" w:rsidRDefault="001661FE" w:rsidP="00EC3EA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C2730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A78F1">
        <w:trPr>
          <w:trHeight w:val="415"/>
        </w:trPr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AA78F1" w:rsidRDefault="00AA78F1" w:rsidP="00AA78F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A78F1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10W-40</w:t>
            </w:r>
            <w:r w:rsidRPr="00AA78F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SL/CF</w:t>
            </w:r>
            <w:r w:rsidRPr="00AA78F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ACEA A3/B4</w:t>
            </w:r>
            <w:r w:rsidRPr="00AA78F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ACEA A3/B3</w:t>
            </w:r>
            <w:r w:rsidRPr="00AA78F1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VW 501 01/505 00</w:t>
            </w:r>
          </w:p>
        </w:tc>
      </w:tr>
      <w:tr w:rsidR="002179B6" w:rsidTr="00B70311">
        <w:trPr>
          <w:trHeight w:val="3496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lastRenderedPageBreak/>
              <w:t xml:space="preserve">Pokyny pre manipuláciu </w:t>
            </w:r>
            <w:r w:rsidR="00327E21"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 </w:t>
            </w: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Skladujte v uzavretých originálnych obaloch na suchých miestach s dostatočným vetraním</w:t>
            </w:r>
            <w:r w:rsidR="00327E21"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</w:t>
            </w:r>
            <w:r w:rsidR="00327E21"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vzťahujúce sa k ropným výrobkom.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</w:t>
            </w:r>
            <w:r w:rsidR="00327E21"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škody. V takomto prípade výrobca ani predajca nenesú zodpovednosť.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B70311" w:rsidRPr="00631722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B70311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0C" w:rsidRDefault="006E1A0C" w:rsidP="002179B6">
      <w:pPr>
        <w:spacing w:before="0" w:after="0" w:line="240" w:lineRule="auto"/>
      </w:pPr>
      <w:r>
        <w:separator/>
      </w:r>
    </w:p>
  </w:endnote>
  <w:endnote w:type="continuationSeparator" w:id="0">
    <w:p w:rsidR="006E1A0C" w:rsidRDefault="006E1A0C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2" w:rsidRDefault="00631722" w:rsidP="00631722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631722" w:rsidRDefault="00631722">
    <w:pPr>
      <w:pStyle w:val="Pta"/>
    </w:pPr>
    <w:r>
      <w:tab/>
    </w:r>
    <w:sdt>
      <w:sdtPr>
        <w:id w:val="-334683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E53BD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0C" w:rsidRDefault="006E1A0C" w:rsidP="002179B6">
      <w:pPr>
        <w:spacing w:before="0" w:after="0" w:line="240" w:lineRule="auto"/>
      </w:pPr>
      <w:r>
        <w:separator/>
      </w:r>
    </w:p>
  </w:footnote>
  <w:footnote w:type="continuationSeparator" w:id="0">
    <w:p w:rsidR="006E1A0C" w:rsidRDefault="006E1A0C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73D"/>
    <w:multiLevelType w:val="multilevel"/>
    <w:tmpl w:val="048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405BE"/>
    <w:multiLevelType w:val="multilevel"/>
    <w:tmpl w:val="EFA2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E6A61"/>
    <w:multiLevelType w:val="multilevel"/>
    <w:tmpl w:val="ADE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63DDD"/>
    <w:multiLevelType w:val="multilevel"/>
    <w:tmpl w:val="25B0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67B49"/>
    <w:multiLevelType w:val="multilevel"/>
    <w:tmpl w:val="FE2E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07CF2"/>
    <w:multiLevelType w:val="multilevel"/>
    <w:tmpl w:val="329C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7384A"/>
    <w:multiLevelType w:val="multilevel"/>
    <w:tmpl w:val="5382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454D5"/>
    <w:multiLevelType w:val="multilevel"/>
    <w:tmpl w:val="5C84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01DAA"/>
    <w:multiLevelType w:val="multilevel"/>
    <w:tmpl w:val="7332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B1DE4"/>
    <w:multiLevelType w:val="multilevel"/>
    <w:tmpl w:val="D85E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1C088A"/>
    <w:multiLevelType w:val="multilevel"/>
    <w:tmpl w:val="7C8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62764"/>
    <w:multiLevelType w:val="multilevel"/>
    <w:tmpl w:val="C6FA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5319C"/>
    <w:multiLevelType w:val="multilevel"/>
    <w:tmpl w:val="C208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27678B"/>
    <w:multiLevelType w:val="multilevel"/>
    <w:tmpl w:val="275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7F3673"/>
    <w:multiLevelType w:val="multilevel"/>
    <w:tmpl w:val="3D9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067FA1"/>
    <w:multiLevelType w:val="multilevel"/>
    <w:tmpl w:val="312E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455A08"/>
    <w:multiLevelType w:val="multilevel"/>
    <w:tmpl w:val="5C6E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3E36C3"/>
    <w:multiLevelType w:val="multilevel"/>
    <w:tmpl w:val="2FF0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AE75B3"/>
    <w:multiLevelType w:val="multilevel"/>
    <w:tmpl w:val="6676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A2C59"/>
    <w:multiLevelType w:val="multilevel"/>
    <w:tmpl w:val="2264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C56F79"/>
    <w:multiLevelType w:val="multilevel"/>
    <w:tmpl w:val="9B56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18"/>
  </w:num>
  <w:num w:numId="5">
    <w:abstractNumId w:val="7"/>
  </w:num>
  <w:num w:numId="6">
    <w:abstractNumId w:val="8"/>
  </w:num>
  <w:num w:numId="7">
    <w:abstractNumId w:val="17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9"/>
  </w:num>
  <w:num w:numId="14">
    <w:abstractNumId w:val="12"/>
  </w:num>
  <w:num w:numId="15">
    <w:abstractNumId w:val="20"/>
  </w:num>
  <w:num w:numId="16">
    <w:abstractNumId w:val="16"/>
  </w:num>
  <w:num w:numId="17">
    <w:abstractNumId w:val="11"/>
  </w:num>
  <w:num w:numId="18">
    <w:abstractNumId w:val="1"/>
  </w:num>
  <w:num w:numId="19">
    <w:abstractNumId w:val="1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23ED9"/>
    <w:rsid w:val="000319A6"/>
    <w:rsid w:val="000B486B"/>
    <w:rsid w:val="0015326D"/>
    <w:rsid w:val="001661FE"/>
    <w:rsid w:val="002179B6"/>
    <w:rsid w:val="00223119"/>
    <w:rsid w:val="00233269"/>
    <w:rsid w:val="002C6114"/>
    <w:rsid w:val="002E7F35"/>
    <w:rsid w:val="00306C22"/>
    <w:rsid w:val="00327E21"/>
    <w:rsid w:val="00407A37"/>
    <w:rsid w:val="004F5501"/>
    <w:rsid w:val="00514BF7"/>
    <w:rsid w:val="00581E39"/>
    <w:rsid w:val="005B1B77"/>
    <w:rsid w:val="005C7B6C"/>
    <w:rsid w:val="005E0994"/>
    <w:rsid w:val="005F7D4E"/>
    <w:rsid w:val="00631722"/>
    <w:rsid w:val="00634F44"/>
    <w:rsid w:val="006559EA"/>
    <w:rsid w:val="006A78FE"/>
    <w:rsid w:val="006D7EAB"/>
    <w:rsid w:val="006E1A0C"/>
    <w:rsid w:val="00711DE8"/>
    <w:rsid w:val="007375B5"/>
    <w:rsid w:val="00780614"/>
    <w:rsid w:val="00784C94"/>
    <w:rsid w:val="008407C0"/>
    <w:rsid w:val="00896319"/>
    <w:rsid w:val="00964E51"/>
    <w:rsid w:val="00986B26"/>
    <w:rsid w:val="009C4A3A"/>
    <w:rsid w:val="00A3055A"/>
    <w:rsid w:val="00A35AE2"/>
    <w:rsid w:val="00AA78F1"/>
    <w:rsid w:val="00B24BA1"/>
    <w:rsid w:val="00B70311"/>
    <w:rsid w:val="00BA0B2B"/>
    <w:rsid w:val="00BD2AC0"/>
    <w:rsid w:val="00C2730F"/>
    <w:rsid w:val="00C728C1"/>
    <w:rsid w:val="00CA3898"/>
    <w:rsid w:val="00CE53BD"/>
    <w:rsid w:val="00D031CB"/>
    <w:rsid w:val="00D05DA3"/>
    <w:rsid w:val="00E95696"/>
    <w:rsid w:val="00EB3486"/>
    <w:rsid w:val="00EC3EA0"/>
    <w:rsid w:val="00F3792C"/>
    <w:rsid w:val="00F751F3"/>
    <w:rsid w:val="00F836BF"/>
    <w:rsid w:val="00FB6A34"/>
    <w:rsid w:val="00FC1CBD"/>
    <w:rsid w:val="00F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C5133"/>
    <w:rsid w:val="000D1AE6"/>
    <w:rsid w:val="00315642"/>
    <w:rsid w:val="00407C24"/>
    <w:rsid w:val="004171D9"/>
    <w:rsid w:val="00687541"/>
    <w:rsid w:val="00AE7377"/>
    <w:rsid w:val="00CA3115"/>
    <w:rsid w:val="00CC37A6"/>
    <w:rsid w:val="00D0731B"/>
    <w:rsid w:val="00D238A2"/>
    <w:rsid w:val="00D96BD1"/>
    <w:rsid w:val="00DC19F2"/>
    <w:rsid w:val="00E1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Polosyntetic 10W-40</dc:creator>
  <cp:lastModifiedBy>AUTEX-ZA</cp:lastModifiedBy>
  <cp:revision>4</cp:revision>
  <cp:lastPrinted>2019-03-12T13:42:00Z</cp:lastPrinted>
  <dcterms:created xsi:type="dcterms:W3CDTF">2022-03-28T17:37:00Z</dcterms:created>
  <dcterms:modified xsi:type="dcterms:W3CDTF">2022-03-29T17:42:00Z</dcterms:modified>
</cp:coreProperties>
</file>